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6A5534" w:rsidRDefault="006A5534">
      <w:bookmarkStart w:id="0" w:name="_GoBack"/>
      <w:bookmarkEnd w:id="0"/>
    </w:p>
    <w:tbl>
      <w:tblPr>
        <w:tblStyle w:val="a"/>
        <w:tblW w:w="88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850"/>
        <w:gridCol w:w="7006"/>
      </w:tblGrid>
      <w:tr w:rsidR="006A5534">
        <w:tc>
          <w:tcPr>
            <w:tcW w:w="1850" w:type="dxa"/>
            <w:shd w:val="clear" w:color="auto" w:fill="EFEFEF"/>
          </w:tcPr>
          <w:p w:rsidR="006A5534" w:rsidRDefault="00C4249B">
            <w:pPr>
              <w:contextualSpacing w:val="0"/>
            </w:pPr>
            <w:r>
              <w:rPr>
                <w:rFonts w:ascii="Arial" w:eastAsia="Arial" w:hAnsi="Arial" w:cs="Arial"/>
                <w:i/>
                <w:sz w:val="20"/>
                <w:szCs w:val="20"/>
              </w:rPr>
              <w:t>DIL Skill</w:t>
            </w:r>
          </w:p>
        </w:tc>
        <w:tc>
          <w:tcPr>
            <w:tcW w:w="7006" w:type="dxa"/>
            <w:shd w:val="clear" w:color="auto" w:fill="EFEFEF"/>
          </w:tcPr>
          <w:p w:rsidR="006A5534" w:rsidRDefault="00C4249B">
            <w:pPr>
              <w:contextualSpacing w:val="0"/>
            </w:pPr>
            <w:r>
              <w:rPr>
                <w:rFonts w:ascii="Arial" w:eastAsia="Arial" w:hAnsi="Arial" w:cs="Arial"/>
                <w:i/>
                <w:sz w:val="20"/>
                <w:szCs w:val="20"/>
              </w:rPr>
              <w:t>Examples of this Skill</w:t>
            </w:r>
          </w:p>
        </w:tc>
      </w:tr>
      <w:tr w:rsidR="006A5534">
        <w:tc>
          <w:tcPr>
            <w:tcW w:w="1850" w:type="dxa"/>
          </w:tcPr>
          <w:p w:rsidR="006A5534" w:rsidRDefault="00C4249B">
            <w:pPr>
              <w:contextualSpacing w:val="0"/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Cultures of Practice</w:t>
            </w:r>
          </w:p>
        </w:tc>
        <w:tc>
          <w:tcPr>
            <w:tcW w:w="7006" w:type="dxa"/>
          </w:tcPr>
          <w:p w:rsidR="006A5534" w:rsidRDefault="00C4249B">
            <w:pPr>
              <w:numPr>
                <w:ilvl w:val="0"/>
                <w:numId w:val="11"/>
              </w:numPr>
              <w:spacing w:line="276" w:lineRule="auto"/>
              <w:ind w:hanging="3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Recognizes the practices, values, and norms of his/her chosen field, discipline, or sub-discipline as they relate to managing, sharing, curating, and preserving data. </w:t>
            </w:r>
          </w:p>
          <w:p w:rsidR="006A5534" w:rsidRDefault="00C4249B">
            <w:pPr>
              <w:numPr>
                <w:ilvl w:val="0"/>
                <w:numId w:val="11"/>
              </w:numPr>
              <w:spacing w:line="276" w:lineRule="auto"/>
              <w:ind w:hanging="3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Recognizes relevant data standards of his/her field (metadata, quality, formatting, etc.) and understands how these standards are applied</w:t>
            </w:r>
          </w:p>
        </w:tc>
      </w:tr>
      <w:tr w:rsidR="006A5534">
        <w:tc>
          <w:tcPr>
            <w:tcW w:w="1850" w:type="dxa"/>
          </w:tcPr>
          <w:p w:rsidR="006A5534" w:rsidRDefault="00C4249B">
            <w:pPr>
              <w:contextualSpacing w:val="0"/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Data Conversion and Interoperability</w:t>
            </w:r>
          </w:p>
        </w:tc>
        <w:tc>
          <w:tcPr>
            <w:tcW w:w="7006" w:type="dxa"/>
          </w:tcPr>
          <w:p w:rsidR="006A5534" w:rsidRDefault="00C4249B">
            <w:pPr>
              <w:numPr>
                <w:ilvl w:val="0"/>
                <w:numId w:val="1"/>
              </w:numPr>
              <w:spacing w:line="276" w:lineRule="auto"/>
              <w:ind w:hanging="3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Is proficient in migrating data from one format to another. </w:t>
            </w:r>
          </w:p>
          <w:p w:rsidR="006A5534" w:rsidRDefault="00C4249B">
            <w:pPr>
              <w:numPr>
                <w:ilvl w:val="0"/>
                <w:numId w:val="1"/>
              </w:numPr>
              <w:spacing w:line="276" w:lineRule="auto"/>
              <w:ind w:hanging="3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Understands the risks and potential loss or corruption of information caused by changing data formats. </w:t>
            </w:r>
          </w:p>
          <w:p w:rsidR="006A5534" w:rsidRDefault="00C4249B">
            <w:pPr>
              <w:numPr>
                <w:ilvl w:val="0"/>
                <w:numId w:val="1"/>
              </w:numPr>
              <w:spacing w:line="276" w:lineRule="auto"/>
              <w:ind w:hanging="3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Understands the benefits of making data available in standard formats to facilitate downstream use.</w:t>
            </w:r>
          </w:p>
        </w:tc>
      </w:tr>
      <w:tr w:rsidR="006A5534">
        <w:tc>
          <w:tcPr>
            <w:tcW w:w="1850" w:type="dxa"/>
          </w:tcPr>
          <w:p w:rsidR="006A5534" w:rsidRDefault="00C4249B">
            <w:pPr>
              <w:contextualSpacing w:val="0"/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Data Curation and Re-use</w:t>
            </w:r>
          </w:p>
        </w:tc>
        <w:tc>
          <w:tcPr>
            <w:tcW w:w="7006" w:type="dxa"/>
          </w:tcPr>
          <w:p w:rsidR="006A5534" w:rsidRDefault="00C4249B">
            <w:pPr>
              <w:numPr>
                <w:ilvl w:val="0"/>
                <w:numId w:val="2"/>
              </w:numPr>
              <w:spacing w:line="276" w:lineRule="auto"/>
              <w:ind w:hanging="3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Recognizes that data may h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ave value beyond the original purpose, to validate research, or for use by others. </w:t>
            </w:r>
          </w:p>
          <w:p w:rsidR="006A5534" w:rsidRDefault="00C4249B">
            <w:pPr>
              <w:numPr>
                <w:ilvl w:val="0"/>
                <w:numId w:val="2"/>
              </w:numPr>
              <w:spacing w:line="276" w:lineRule="auto"/>
              <w:ind w:hanging="3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Is able to distinguish which elements of a data set are likely to have future value for self and for others. </w:t>
            </w:r>
          </w:p>
          <w:p w:rsidR="006A5534" w:rsidRDefault="00C4249B">
            <w:pPr>
              <w:numPr>
                <w:ilvl w:val="0"/>
                <w:numId w:val="2"/>
              </w:numPr>
              <w:spacing w:line="276" w:lineRule="auto"/>
              <w:ind w:hanging="3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Understands that curating data is a complex, often costly ende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avor that is nonetheless vital to community-driven e-research. </w:t>
            </w:r>
          </w:p>
          <w:p w:rsidR="006A5534" w:rsidRDefault="00C4249B">
            <w:pPr>
              <w:numPr>
                <w:ilvl w:val="0"/>
                <w:numId w:val="2"/>
              </w:numPr>
              <w:spacing w:line="276" w:lineRule="auto"/>
              <w:ind w:hanging="3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Recognizes that data must be prepared for its eventual curation at its creation and throughout its lifecycle. </w:t>
            </w:r>
          </w:p>
          <w:p w:rsidR="006A5534" w:rsidRDefault="00C4249B">
            <w:pPr>
              <w:numPr>
                <w:ilvl w:val="0"/>
                <w:numId w:val="2"/>
              </w:numPr>
              <w:spacing w:line="276" w:lineRule="auto"/>
              <w:ind w:hanging="3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Articulates the planning and activities needed to enable data curation, both gene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rally and within his/her local practice. </w:t>
            </w:r>
          </w:p>
          <w:p w:rsidR="006A5534" w:rsidRDefault="00C4249B">
            <w:pPr>
              <w:numPr>
                <w:ilvl w:val="0"/>
                <w:numId w:val="2"/>
              </w:numPr>
              <w:spacing w:line="276" w:lineRule="auto"/>
              <w:ind w:hanging="3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Understands how to cite data as well as how to make his/her data citable.</w:t>
            </w:r>
          </w:p>
        </w:tc>
      </w:tr>
      <w:tr w:rsidR="006A5534">
        <w:tc>
          <w:tcPr>
            <w:tcW w:w="1850" w:type="dxa"/>
          </w:tcPr>
          <w:p w:rsidR="006A5534" w:rsidRDefault="00C4249B">
            <w:pPr>
              <w:contextualSpacing w:val="0"/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Data Management and Organization</w:t>
            </w:r>
          </w:p>
        </w:tc>
        <w:tc>
          <w:tcPr>
            <w:tcW w:w="7006" w:type="dxa"/>
          </w:tcPr>
          <w:p w:rsidR="006A5534" w:rsidRDefault="00C4249B">
            <w:pPr>
              <w:numPr>
                <w:ilvl w:val="0"/>
                <w:numId w:val="3"/>
              </w:numPr>
              <w:spacing w:line="276" w:lineRule="auto"/>
              <w:ind w:hanging="3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Understands the lifecycle of data, develops data management plans, and keeps track of the relation of subsets or processed data to the original data sets. </w:t>
            </w:r>
          </w:p>
          <w:p w:rsidR="006A5534" w:rsidRDefault="00C4249B">
            <w:pPr>
              <w:numPr>
                <w:ilvl w:val="0"/>
                <w:numId w:val="3"/>
              </w:numPr>
              <w:spacing w:line="276" w:lineRule="auto"/>
              <w:ind w:hanging="3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Creates standard operating procedures for data management and documentation.</w:t>
            </w:r>
          </w:p>
        </w:tc>
      </w:tr>
      <w:tr w:rsidR="006A5534">
        <w:tc>
          <w:tcPr>
            <w:tcW w:w="1850" w:type="dxa"/>
          </w:tcPr>
          <w:p w:rsidR="006A5534" w:rsidRDefault="00C4249B">
            <w:pPr>
              <w:contextualSpacing w:val="0"/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Data Preservation</w:t>
            </w:r>
          </w:p>
        </w:tc>
        <w:tc>
          <w:tcPr>
            <w:tcW w:w="7006" w:type="dxa"/>
          </w:tcPr>
          <w:p w:rsidR="006A5534" w:rsidRDefault="00C4249B">
            <w:pPr>
              <w:numPr>
                <w:ilvl w:val="0"/>
                <w:numId w:val="4"/>
              </w:numPr>
              <w:spacing w:line="276" w:lineRule="auto"/>
              <w:ind w:hanging="3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Reco</w:t>
            </w:r>
            <w:r>
              <w:rPr>
                <w:rFonts w:ascii="Arial" w:eastAsia="Arial" w:hAnsi="Arial" w:cs="Arial"/>
                <w:sz w:val="20"/>
                <w:szCs w:val="20"/>
              </w:rPr>
              <w:t>gnizes the benefits and costs of data preservation.</w:t>
            </w:r>
          </w:p>
          <w:p w:rsidR="006A5534" w:rsidRDefault="00C4249B">
            <w:pPr>
              <w:numPr>
                <w:ilvl w:val="0"/>
                <w:numId w:val="4"/>
              </w:numPr>
              <w:spacing w:line="276" w:lineRule="auto"/>
              <w:ind w:hanging="3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Understands the technology, resources, and organizational components of preserving data.</w:t>
            </w:r>
          </w:p>
          <w:p w:rsidR="006A5534" w:rsidRDefault="00C4249B">
            <w:pPr>
              <w:numPr>
                <w:ilvl w:val="0"/>
                <w:numId w:val="4"/>
              </w:numPr>
              <w:spacing w:line="276" w:lineRule="auto"/>
              <w:ind w:hanging="3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Utilizes best practices in preparing data for its eventual preservation during its active lifecycle. </w:t>
            </w:r>
          </w:p>
          <w:p w:rsidR="006A5534" w:rsidRDefault="00C4249B">
            <w:pPr>
              <w:numPr>
                <w:ilvl w:val="0"/>
                <w:numId w:val="4"/>
              </w:numPr>
              <w:spacing w:line="276" w:lineRule="auto"/>
              <w:ind w:hanging="3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Articulates t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he potential long term value of his/her data for him/herself or others and is able to determine an appropriate preservation timeframe. </w:t>
            </w:r>
          </w:p>
          <w:p w:rsidR="006A5534" w:rsidRDefault="00C4249B">
            <w:pPr>
              <w:numPr>
                <w:ilvl w:val="0"/>
                <w:numId w:val="4"/>
              </w:numPr>
              <w:spacing w:line="276" w:lineRule="auto"/>
              <w:ind w:hanging="3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Understands the need to develop preservation policies and is able to identify the core elements of such policies. </w:t>
            </w:r>
          </w:p>
        </w:tc>
      </w:tr>
      <w:tr w:rsidR="006A5534">
        <w:tc>
          <w:tcPr>
            <w:tcW w:w="1850" w:type="dxa"/>
          </w:tcPr>
          <w:p w:rsidR="006A5534" w:rsidRDefault="00C4249B">
            <w:pPr>
              <w:contextualSpacing w:val="0"/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Data</w:t>
            </w: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 Processing and Analysis</w:t>
            </w:r>
          </w:p>
        </w:tc>
        <w:tc>
          <w:tcPr>
            <w:tcW w:w="7006" w:type="dxa"/>
          </w:tcPr>
          <w:p w:rsidR="006A5534" w:rsidRDefault="00C4249B">
            <w:pPr>
              <w:numPr>
                <w:ilvl w:val="0"/>
                <w:numId w:val="6"/>
              </w:numPr>
              <w:spacing w:line="276" w:lineRule="auto"/>
              <w:ind w:hanging="3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Is familiar with the basic data processing and analysis tools and techniques of the discipline or research area. </w:t>
            </w:r>
          </w:p>
          <w:p w:rsidR="006A5534" w:rsidRDefault="00C4249B">
            <w:pPr>
              <w:numPr>
                <w:ilvl w:val="0"/>
                <w:numId w:val="6"/>
              </w:numPr>
              <w:spacing w:line="276" w:lineRule="auto"/>
              <w:ind w:hanging="3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lastRenderedPageBreak/>
              <w:t xml:space="preserve">Understands the effect that these tools may have on the data. </w:t>
            </w:r>
          </w:p>
          <w:p w:rsidR="006A5534" w:rsidRDefault="00C4249B">
            <w:pPr>
              <w:numPr>
                <w:ilvl w:val="0"/>
                <w:numId w:val="6"/>
              </w:numPr>
              <w:spacing w:line="276" w:lineRule="auto"/>
              <w:ind w:hanging="3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Uses appropriate workflow management tools to automate repetitive analysis of data.</w:t>
            </w:r>
          </w:p>
          <w:p w:rsidR="006A5534" w:rsidRDefault="006A5534">
            <w:pPr>
              <w:spacing w:line="276" w:lineRule="auto"/>
              <w:contextualSpacing w:val="0"/>
            </w:pPr>
          </w:p>
        </w:tc>
      </w:tr>
      <w:tr w:rsidR="006A5534">
        <w:tc>
          <w:tcPr>
            <w:tcW w:w="1850" w:type="dxa"/>
            <w:shd w:val="clear" w:color="auto" w:fill="EFEFEF"/>
          </w:tcPr>
          <w:p w:rsidR="006A5534" w:rsidRDefault="00C4249B">
            <w:pPr>
              <w:contextualSpacing w:val="0"/>
            </w:pPr>
            <w:r>
              <w:rPr>
                <w:rFonts w:ascii="Arial" w:eastAsia="Arial" w:hAnsi="Arial" w:cs="Arial"/>
                <w:i/>
                <w:sz w:val="20"/>
                <w:szCs w:val="20"/>
              </w:rPr>
              <w:lastRenderedPageBreak/>
              <w:t>DIL Skill</w:t>
            </w:r>
          </w:p>
        </w:tc>
        <w:tc>
          <w:tcPr>
            <w:tcW w:w="7006" w:type="dxa"/>
            <w:shd w:val="clear" w:color="auto" w:fill="EFEFEF"/>
          </w:tcPr>
          <w:p w:rsidR="006A5534" w:rsidRDefault="00C4249B">
            <w:pPr>
              <w:contextualSpacing w:val="0"/>
            </w:pPr>
            <w:r>
              <w:rPr>
                <w:rFonts w:ascii="Arial" w:eastAsia="Arial" w:hAnsi="Arial" w:cs="Arial"/>
                <w:i/>
                <w:sz w:val="20"/>
                <w:szCs w:val="20"/>
              </w:rPr>
              <w:t>Examples of this Skill</w:t>
            </w:r>
          </w:p>
        </w:tc>
      </w:tr>
      <w:tr w:rsidR="006A5534">
        <w:tc>
          <w:tcPr>
            <w:tcW w:w="1850" w:type="dxa"/>
          </w:tcPr>
          <w:p w:rsidR="006A5534" w:rsidRDefault="00C4249B">
            <w:pPr>
              <w:contextualSpacing w:val="0"/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Data Quality and Documentation</w:t>
            </w:r>
          </w:p>
        </w:tc>
        <w:tc>
          <w:tcPr>
            <w:tcW w:w="7006" w:type="dxa"/>
          </w:tcPr>
          <w:p w:rsidR="006A5534" w:rsidRDefault="00C4249B">
            <w:pPr>
              <w:numPr>
                <w:ilvl w:val="0"/>
                <w:numId w:val="8"/>
              </w:numPr>
              <w:ind w:hanging="3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Recognizes, documents and resolves any apparent artifacts, incompletion, or corruption of data.</w:t>
            </w:r>
          </w:p>
          <w:p w:rsidR="006A5534" w:rsidRDefault="00C4249B">
            <w:pPr>
              <w:numPr>
                <w:ilvl w:val="0"/>
                <w:numId w:val="8"/>
              </w:numPr>
              <w:ind w:hanging="3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Utilizes metadata to facilitate an understanding of potential problems with data sets.</w:t>
            </w:r>
          </w:p>
          <w:p w:rsidR="006A5534" w:rsidRDefault="00C4249B">
            <w:pPr>
              <w:numPr>
                <w:ilvl w:val="0"/>
                <w:numId w:val="8"/>
              </w:numPr>
              <w:ind w:hanging="3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Documents data sufficiently to enable reproduction of research results and data by others.</w:t>
            </w:r>
          </w:p>
          <w:p w:rsidR="006A5534" w:rsidRDefault="00C4249B">
            <w:pPr>
              <w:numPr>
                <w:ilvl w:val="0"/>
                <w:numId w:val="8"/>
              </w:numPr>
              <w:ind w:hanging="3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Tracks data provenance and clearly delineates and denotes versions of a data s</w:t>
            </w:r>
            <w:r>
              <w:rPr>
                <w:rFonts w:ascii="Arial" w:eastAsia="Arial" w:hAnsi="Arial" w:cs="Arial"/>
                <w:sz w:val="20"/>
                <w:szCs w:val="20"/>
              </w:rPr>
              <w:t>et.</w:t>
            </w:r>
          </w:p>
        </w:tc>
      </w:tr>
      <w:tr w:rsidR="006A5534">
        <w:tc>
          <w:tcPr>
            <w:tcW w:w="1850" w:type="dxa"/>
          </w:tcPr>
          <w:p w:rsidR="006A5534" w:rsidRDefault="00C4249B">
            <w:pPr>
              <w:contextualSpacing w:val="0"/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Data Visualization and Representation</w:t>
            </w:r>
          </w:p>
        </w:tc>
        <w:tc>
          <w:tcPr>
            <w:tcW w:w="7006" w:type="dxa"/>
          </w:tcPr>
          <w:p w:rsidR="006A5534" w:rsidRDefault="00C4249B">
            <w:pPr>
              <w:numPr>
                <w:ilvl w:val="0"/>
                <w:numId w:val="8"/>
              </w:numPr>
              <w:ind w:hanging="3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Proficiently uses basic visualization tools of discipline. </w:t>
            </w:r>
          </w:p>
          <w:p w:rsidR="006A5534" w:rsidRDefault="00C4249B">
            <w:pPr>
              <w:numPr>
                <w:ilvl w:val="0"/>
                <w:numId w:val="8"/>
              </w:numPr>
              <w:ind w:hanging="3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Avoids misleading or ambiguous representations when presenting data in tables, charts, diagrams, etc. </w:t>
            </w:r>
          </w:p>
          <w:p w:rsidR="006A5534" w:rsidRDefault="00C4249B">
            <w:pPr>
              <w:numPr>
                <w:ilvl w:val="0"/>
                <w:numId w:val="8"/>
              </w:numPr>
              <w:ind w:hanging="3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Chooses the appropriate type of visualization, such as maps, graphs, animations, or videos, based on their understanding of the reason / purpose for visualizing or displaying data.</w:t>
            </w:r>
          </w:p>
        </w:tc>
      </w:tr>
      <w:tr w:rsidR="006A5534">
        <w:tc>
          <w:tcPr>
            <w:tcW w:w="1850" w:type="dxa"/>
          </w:tcPr>
          <w:p w:rsidR="006A5534" w:rsidRDefault="00C4249B">
            <w:pPr>
              <w:contextualSpacing w:val="0"/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Databases and Data Formats</w:t>
            </w:r>
          </w:p>
        </w:tc>
        <w:tc>
          <w:tcPr>
            <w:tcW w:w="7006" w:type="dxa"/>
          </w:tcPr>
          <w:p w:rsidR="006A5534" w:rsidRDefault="00C4249B">
            <w:pPr>
              <w:numPr>
                <w:ilvl w:val="0"/>
                <w:numId w:val="5"/>
              </w:numPr>
              <w:ind w:hanging="3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Understands the concept of relational databases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and how to query those databases,</w:t>
            </w:r>
          </w:p>
          <w:p w:rsidR="006A5534" w:rsidRDefault="00C4249B">
            <w:pPr>
              <w:numPr>
                <w:ilvl w:val="0"/>
                <w:numId w:val="5"/>
              </w:numPr>
              <w:ind w:hanging="3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Becomes familiar with standard data formats and types for their discipline. </w:t>
            </w:r>
          </w:p>
          <w:p w:rsidR="006A5534" w:rsidRDefault="00C4249B">
            <w:pPr>
              <w:numPr>
                <w:ilvl w:val="0"/>
                <w:numId w:val="5"/>
              </w:numPr>
              <w:ind w:hanging="3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Understands which formats and data types are appropriate for different research questions.</w:t>
            </w:r>
          </w:p>
        </w:tc>
      </w:tr>
      <w:tr w:rsidR="006A5534">
        <w:tc>
          <w:tcPr>
            <w:tcW w:w="1850" w:type="dxa"/>
          </w:tcPr>
          <w:p w:rsidR="006A5534" w:rsidRDefault="00C4249B">
            <w:pPr>
              <w:contextualSpacing w:val="0"/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Discovery and Acquisition</w:t>
            </w:r>
          </w:p>
        </w:tc>
        <w:tc>
          <w:tcPr>
            <w:tcW w:w="7006" w:type="dxa"/>
          </w:tcPr>
          <w:p w:rsidR="006A5534" w:rsidRDefault="00C4249B">
            <w:pPr>
              <w:numPr>
                <w:ilvl w:val="0"/>
                <w:numId w:val="7"/>
              </w:numPr>
              <w:ind w:hanging="3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Locates and utilizes disciplinary data repositories. </w:t>
            </w:r>
          </w:p>
          <w:p w:rsidR="006A5534" w:rsidRDefault="00C4249B">
            <w:pPr>
              <w:numPr>
                <w:ilvl w:val="0"/>
                <w:numId w:val="7"/>
              </w:numPr>
              <w:ind w:hanging="3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Evaluates the quality of the data available from external sources. </w:t>
            </w:r>
          </w:p>
          <w:p w:rsidR="006A5534" w:rsidRDefault="00C4249B">
            <w:pPr>
              <w:numPr>
                <w:ilvl w:val="0"/>
                <w:numId w:val="7"/>
              </w:numPr>
              <w:ind w:hanging="3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Not only identifies appropriate external data sources, but also imports data and converts it when necessary, so it can be used locally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</w:tc>
      </w:tr>
      <w:tr w:rsidR="006A5534">
        <w:tc>
          <w:tcPr>
            <w:tcW w:w="1850" w:type="dxa"/>
          </w:tcPr>
          <w:p w:rsidR="006A5534" w:rsidRDefault="00C4249B">
            <w:pPr>
              <w:contextualSpacing w:val="0"/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Metadata and Data Description</w:t>
            </w:r>
          </w:p>
        </w:tc>
        <w:tc>
          <w:tcPr>
            <w:tcW w:w="7006" w:type="dxa"/>
          </w:tcPr>
          <w:p w:rsidR="006A5534" w:rsidRDefault="00C4249B">
            <w:pPr>
              <w:numPr>
                <w:ilvl w:val="0"/>
                <w:numId w:val="10"/>
              </w:numPr>
              <w:ind w:hanging="3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Understands the rationale for metadata and proficiently annotates and describes data so it can be understood and used by self and others.</w:t>
            </w:r>
          </w:p>
          <w:p w:rsidR="006A5534" w:rsidRDefault="00C4249B">
            <w:pPr>
              <w:numPr>
                <w:ilvl w:val="0"/>
                <w:numId w:val="10"/>
              </w:numPr>
              <w:ind w:hanging="3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Develops the ability to read and interpret metadata from external disciplinary source</w:t>
            </w:r>
            <w:r>
              <w:rPr>
                <w:rFonts w:ascii="Arial" w:eastAsia="Arial" w:hAnsi="Arial" w:cs="Arial"/>
                <w:sz w:val="20"/>
                <w:szCs w:val="20"/>
              </w:rPr>
              <w:t>s.</w:t>
            </w:r>
          </w:p>
          <w:p w:rsidR="006A5534" w:rsidRDefault="00C4249B">
            <w:pPr>
              <w:numPr>
                <w:ilvl w:val="0"/>
                <w:numId w:val="10"/>
              </w:numPr>
              <w:ind w:hanging="3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Understands the structure and purpose of ontologies in facilitating better sharing of data.</w:t>
            </w:r>
          </w:p>
        </w:tc>
      </w:tr>
      <w:tr w:rsidR="006A5534">
        <w:tc>
          <w:tcPr>
            <w:tcW w:w="1850" w:type="dxa"/>
          </w:tcPr>
          <w:p w:rsidR="006A5534" w:rsidRDefault="00C4249B">
            <w:pPr>
              <w:contextualSpacing w:val="0"/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Ethics, including citation of data</w:t>
            </w:r>
          </w:p>
        </w:tc>
        <w:tc>
          <w:tcPr>
            <w:tcW w:w="7006" w:type="dxa"/>
          </w:tcPr>
          <w:p w:rsidR="006A5534" w:rsidRDefault="00C4249B">
            <w:pPr>
              <w:numPr>
                <w:ilvl w:val="0"/>
                <w:numId w:val="9"/>
              </w:numPr>
              <w:ind w:hanging="3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Develops an understanding of intellectual property, privacy and confidentiality issues, and the ethos of the discipline when </w:t>
            </w:r>
            <w:r>
              <w:rPr>
                <w:rFonts w:ascii="Arial" w:eastAsia="Arial" w:hAnsi="Arial" w:cs="Arial"/>
                <w:sz w:val="20"/>
                <w:szCs w:val="20"/>
              </w:rPr>
              <w:t>it comes to sharing and administering data.</w:t>
            </w:r>
          </w:p>
          <w:p w:rsidR="006A5534" w:rsidRDefault="00C4249B">
            <w:pPr>
              <w:numPr>
                <w:ilvl w:val="0"/>
                <w:numId w:val="9"/>
              </w:numPr>
              <w:ind w:hanging="3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Acknowledges data from external sources appropriately.</w:t>
            </w:r>
          </w:p>
          <w:p w:rsidR="006A5534" w:rsidRDefault="00C4249B">
            <w:pPr>
              <w:numPr>
                <w:ilvl w:val="0"/>
                <w:numId w:val="9"/>
              </w:numPr>
              <w:ind w:hanging="3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Avoids misleading or ambiguous representations when presenting data.</w:t>
            </w:r>
          </w:p>
        </w:tc>
      </w:tr>
    </w:tbl>
    <w:p w:rsidR="006A5534" w:rsidRDefault="006A5534"/>
    <w:sectPr w:rsidR="006A5534">
      <w:headerReference w:type="default" r:id="rId7"/>
      <w:footerReference w:type="default" r:id="rId8"/>
      <w:pgSz w:w="12240" w:h="15840"/>
      <w:pgMar w:top="1440" w:right="1800" w:bottom="1440" w:left="180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4249B" w:rsidRDefault="00C4249B">
      <w:r>
        <w:separator/>
      </w:r>
    </w:p>
  </w:endnote>
  <w:endnote w:type="continuationSeparator" w:id="0">
    <w:p w:rsidR="00C4249B" w:rsidRDefault="00C424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5534" w:rsidRDefault="006A5534"/>
  <w:p w:rsidR="006A5534" w:rsidRDefault="00C4249B">
    <w:r>
      <w:rPr>
        <w:rFonts w:ascii="Arial" w:eastAsia="Arial" w:hAnsi="Arial" w:cs="Arial"/>
        <w:color w:val="222222"/>
        <w:sz w:val="18"/>
        <w:szCs w:val="18"/>
      </w:rPr>
      <w:t xml:space="preserve">DIL Competencies from Carlson, J., </w:t>
    </w:r>
    <w:proofErr w:type="spellStart"/>
    <w:r>
      <w:rPr>
        <w:rFonts w:ascii="Arial" w:eastAsia="Arial" w:hAnsi="Arial" w:cs="Arial"/>
        <w:color w:val="222222"/>
        <w:sz w:val="18"/>
        <w:szCs w:val="18"/>
      </w:rPr>
      <w:t>Fosmire</w:t>
    </w:r>
    <w:proofErr w:type="spellEnd"/>
    <w:r>
      <w:rPr>
        <w:rFonts w:ascii="Arial" w:eastAsia="Arial" w:hAnsi="Arial" w:cs="Arial"/>
        <w:color w:val="222222"/>
        <w:sz w:val="18"/>
        <w:szCs w:val="18"/>
      </w:rPr>
      <w:t xml:space="preserve">, M., Miller, C., &amp; Sapp Nelson, M. (2011). Determining data information literacy needs: A study of students and research faculty. </w:t>
    </w:r>
    <w:proofErr w:type="gramStart"/>
    <w:r>
      <w:rPr>
        <w:rFonts w:ascii="Arial" w:eastAsia="Arial" w:hAnsi="Arial" w:cs="Arial"/>
        <w:color w:val="222222"/>
        <w:sz w:val="18"/>
        <w:szCs w:val="18"/>
      </w:rPr>
      <w:t>portal</w:t>
    </w:r>
    <w:proofErr w:type="gramEnd"/>
    <w:r>
      <w:rPr>
        <w:rFonts w:ascii="Arial" w:eastAsia="Arial" w:hAnsi="Arial" w:cs="Arial"/>
        <w:color w:val="222222"/>
        <w:sz w:val="18"/>
        <w:szCs w:val="18"/>
      </w:rPr>
      <w:t>: Libraries and the Academy, 11(2), 6</w:t>
    </w:r>
    <w:r>
      <w:rPr>
        <w:rFonts w:ascii="Arial" w:eastAsia="Arial" w:hAnsi="Arial" w:cs="Arial"/>
        <w:color w:val="222222"/>
        <w:sz w:val="18"/>
        <w:szCs w:val="18"/>
      </w:rPr>
      <w:t xml:space="preserve">29-657. DOI: 10.1353/pla.2011.0022. Table reprinted from Carlson &amp; Johnston. (2015). </w:t>
    </w:r>
    <w:r>
      <w:rPr>
        <w:rFonts w:ascii="Arial" w:eastAsia="Arial" w:hAnsi="Arial" w:cs="Arial"/>
        <w:i/>
        <w:color w:val="222222"/>
        <w:sz w:val="18"/>
        <w:szCs w:val="18"/>
      </w:rPr>
      <w:t>Data Information Literacy: Librarians, Data, and the Education of a New Generation of Researchers</w:t>
    </w:r>
    <w:r>
      <w:rPr>
        <w:rFonts w:ascii="Arial" w:eastAsia="Arial" w:hAnsi="Arial" w:cs="Arial"/>
        <w:color w:val="222222"/>
        <w:sz w:val="18"/>
        <w:szCs w:val="18"/>
      </w:rPr>
      <w:t xml:space="preserve">. Purdue University Press: West Lafayette, IN.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4249B" w:rsidRDefault="00C4249B">
      <w:r>
        <w:separator/>
      </w:r>
    </w:p>
  </w:footnote>
  <w:footnote w:type="continuationSeparator" w:id="0">
    <w:p w:rsidR="00C4249B" w:rsidRDefault="00C4249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5534" w:rsidRDefault="00C4249B">
    <w:pPr>
      <w:pStyle w:val="Title"/>
      <w:contextualSpacing w:val="0"/>
    </w:pPr>
    <w:bookmarkStart w:id="1" w:name="h.dui1nsqkd1yl" w:colFirst="0" w:colLast="0"/>
    <w:bookmarkEnd w:id="1"/>
    <w:r>
      <w:rPr>
        <w:sz w:val="48"/>
        <w:szCs w:val="48"/>
      </w:rPr>
      <w:br/>
    </w:r>
    <w:r>
      <w:rPr>
        <w:sz w:val="48"/>
        <w:szCs w:val="48"/>
      </w:rPr>
      <w:t>Data Information Literacy (DIL) Skills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C32897"/>
    <w:multiLevelType w:val="multilevel"/>
    <w:tmpl w:val="A140A26A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1">
    <w:nsid w:val="060E76F1"/>
    <w:multiLevelType w:val="multilevel"/>
    <w:tmpl w:val="A2A64C10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2">
    <w:nsid w:val="0B684CA8"/>
    <w:multiLevelType w:val="multilevel"/>
    <w:tmpl w:val="2EACC0F6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3">
    <w:nsid w:val="15132B42"/>
    <w:multiLevelType w:val="multilevel"/>
    <w:tmpl w:val="8DDA5AB2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4">
    <w:nsid w:val="2BA16A51"/>
    <w:multiLevelType w:val="multilevel"/>
    <w:tmpl w:val="D1E6F0B6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5">
    <w:nsid w:val="346A046F"/>
    <w:multiLevelType w:val="multilevel"/>
    <w:tmpl w:val="9ECA1744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6">
    <w:nsid w:val="5219479D"/>
    <w:multiLevelType w:val="multilevel"/>
    <w:tmpl w:val="1D8E2D8C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7">
    <w:nsid w:val="59F426CF"/>
    <w:multiLevelType w:val="multilevel"/>
    <w:tmpl w:val="06462768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8">
    <w:nsid w:val="62DC6826"/>
    <w:multiLevelType w:val="multilevel"/>
    <w:tmpl w:val="8E609818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9">
    <w:nsid w:val="6F70603E"/>
    <w:multiLevelType w:val="multilevel"/>
    <w:tmpl w:val="F02C5F2C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10">
    <w:nsid w:val="75452EB8"/>
    <w:multiLevelType w:val="multilevel"/>
    <w:tmpl w:val="1C76352A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num w:numId="1">
    <w:abstractNumId w:val="7"/>
  </w:num>
  <w:num w:numId="2">
    <w:abstractNumId w:val="0"/>
  </w:num>
  <w:num w:numId="3">
    <w:abstractNumId w:val="5"/>
  </w:num>
  <w:num w:numId="4">
    <w:abstractNumId w:val="9"/>
  </w:num>
  <w:num w:numId="5">
    <w:abstractNumId w:val="6"/>
  </w:num>
  <w:num w:numId="6">
    <w:abstractNumId w:val="8"/>
  </w:num>
  <w:num w:numId="7">
    <w:abstractNumId w:val="4"/>
  </w:num>
  <w:num w:numId="8">
    <w:abstractNumId w:val="2"/>
  </w:num>
  <w:num w:numId="9">
    <w:abstractNumId w:val="3"/>
  </w:num>
  <w:num w:numId="10">
    <w:abstractNumId w:val="10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5534"/>
    <w:rsid w:val="00653683"/>
    <w:rsid w:val="006A5534"/>
    <w:rsid w:val="00C424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286F0D3-FC17-4C6A-82F4-1177CB1BDD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Cambria" w:hAnsi="Cambria" w:cs="Cambria"/>
        <w:color w:val="000000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contextualSpacing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contextualSpacing/>
    </w:pPr>
    <w:rPr>
      <w:sz w:val="22"/>
      <w:szCs w:val="22"/>
    </w:rPr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668</Words>
  <Characters>3814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UW - Milwaukee</Company>
  <LinksUpToDate>false</LinksUpToDate>
  <CharactersWithSpaces>4474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Kristin Briney</dc:creator>
  <cp:lastModifiedBy>Kristin Briney</cp:lastModifiedBy>
  <cp:revision>2</cp:revision>
  <dcterms:created xsi:type="dcterms:W3CDTF">2015-10-26T21:47:00Z</dcterms:created>
  <dcterms:modified xsi:type="dcterms:W3CDTF">2015-10-26T21:47:00Z</dcterms:modified>
</cp:coreProperties>
</file>